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pPr w:leftFromText="180" w:rightFromText="180" w:vertAnchor="text" w:horzAnchor="margin" w:tblpY="-166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2242"/>
        <w:gridCol w:w="2861"/>
      </w:tblGrid>
      <w:tr w:rsidR="00200390">
        <w:trPr>
          <w:trHeight w:val="209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0390" w:rsidRDefault="003D0EEC">
            <w:pPr>
              <w:widowControl w:val="0"/>
              <w:tabs>
                <w:tab w:val="left" w:pos="5954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22"/>
                <w:szCs w:val="28"/>
              </w:rPr>
              <w:drawing>
                <wp:anchor distT="0" distB="0" distL="0" distR="0" simplePos="0" relativeHeight="3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78740</wp:posOffset>
                  </wp:positionV>
                  <wp:extent cx="2457450" cy="1095375"/>
                  <wp:effectExtent l="0" t="0" r="0" b="0"/>
                  <wp:wrapNone/>
                  <wp:docPr id="1" name="Рисунок 7" descr="Описание: горы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Описание: горы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00390" w:rsidRDefault="00200390">
            <w:pPr>
              <w:widowControl w:val="0"/>
              <w:rPr>
                <w:sz w:val="28"/>
                <w:szCs w:val="28"/>
              </w:rPr>
            </w:pPr>
          </w:p>
          <w:p w:rsidR="00200390" w:rsidRDefault="00200390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90" w:rsidRDefault="00200390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90" w:rsidRDefault="00200390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00390" w:rsidRDefault="00200390">
      <w:pPr>
        <w:jc w:val="center"/>
        <w:rPr>
          <w:b/>
          <w:sz w:val="28"/>
          <w:szCs w:val="28"/>
        </w:rPr>
      </w:pPr>
    </w:p>
    <w:p w:rsidR="00200390" w:rsidRDefault="00200390">
      <w:pPr>
        <w:jc w:val="center"/>
        <w:rPr>
          <w:b/>
          <w:sz w:val="28"/>
          <w:szCs w:val="28"/>
        </w:rPr>
      </w:pPr>
    </w:p>
    <w:p w:rsidR="00200390" w:rsidRDefault="00200390">
      <w:pPr>
        <w:jc w:val="center"/>
        <w:rPr>
          <w:b/>
          <w:sz w:val="28"/>
          <w:szCs w:val="28"/>
        </w:rPr>
      </w:pPr>
    </w:p>
    <w:p w:rsidR="00200390" w:rsidRDefault="00200390">
      <w:pPr>
        <w:jc w:val="center"/>
        <w:rPr>
          <w:b/>
          <w:sz w:val="28"/>
          <w:szCs w:val="28"/>
        </w:rPr>
      </w:pPr>
    </w:p>
    <w:p w:rsidR="00200390" w:rsidRDefault="00200390">
      <w:pPr>
        <w:jc w:val="center"/>
        <w:rPr>
          <w:b/>
          <w:sz w:val="28"/>
          <w:szCs w:val="28"/>
        </w:rPr>
      </w:pPr>
    </w:p>
    <w:p w:rsidR="00200390" w:rsidRDefault="00200390">
      <w:pPr>
        <w:jc w:val="center"/>
        <w:rPr>
          <w:b/>
          <w:sz w:val="28"/>
          <w:szCs w:val="28"/>
        </w:rPr>
      </w:pPr>
    </w:p>
    <w:p w:rsidR="00200390" w:rsidRDefault="00200390">
      <w:pPr>
        <w:jc w:val="center"/>
        <w:rPr>
          <w:b/>
          <w:sz w:val="36"/>
          <w:szCs w:val="36"/>
        </w:rPr>
      </w:pPr>
    </w:p>
    <w:p w:rsidR="00200390" w:rsidRDefault="00200390">
      <w:pPr>
        <w:jc w:val="center"/>
        <w:rPr>
          <w:b/>
          <w:sz w:val="36"/>
          <w:szCs w:val="36"/>
        </w:rPr>
      </w:pPr>
    </w:p>
    <w:p w:rsidR="00200390" w:rsidRDefault="00200390">
      <w:pPr>
        <w:jc w:val="center"/>
        <w:rPr>
          <w:b/>
          <w:sz w:val="36"/>
          <w:szCs w:val="36"/>
        </w:rPr>
      </w:pPr>
    </w:p>
    <w:p w:rsidR="00200390" w:rsidRDefault="003D0E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АНАЛИТИЧЕСКИЙ ОТЧЕТ</w:t>
      </w:r>
    </w:p>
    <w:p w:rsidR="00200390" w:rsidRDefault="00200390">
      <w:pPr>
        <w:jc w:val="center"/>
        <w:rPr>
          <w:b/>
          <w:sz w:val="32"/>
          <w:szCs w:val="32"/>
        </w:rPr>
      </w:pPr>
    </w:p>
    <w:p w:rsidR="00200390" w:rsidRDefault="003D0EEC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200390" w:rsidRDefault="003D0EEC">
      <w:pPr>
        <w:spacing w:line="276" w:lineRule="auto"/>
        <w:jc w:val="center"/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№ 40 ГОРОДА СТАВРОПОЛЯ</w:t>
      </w:r>
      <w:r>
        <w:rPr>
          <w:sz w:val="28"/>
          <w:szCs w:val="28"/>
        </w:rPr>
        <w:t xml:space="preserve"> 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200390" w:rsidRDefault="00200390">
      <w:pPr>
        <w:spacing w:line="276" w:lineRule="auto"/>
        <w:jc w:val="center"/>
        <w:rPr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200390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200390" w:rsidRDefault="003D0EEC">
      <w:pPr>
        <w:widowControl w:val="0"/>
        <w:tabs>
          <w:tab w:val="left" w:pos="0"/>
        </w:tabs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г. Ставрополь, 2023</w:t>
      </w:r>
    </w:p>
    <w:p w:rsidR="00200390" w:rsidRDefault="003D0EEC">
      <w:pPr>
        <w:spacing w:after="160" w:line="259" w:lineRule="auto"/>
        <w:rPr>
          <w:bCs/>
          <w:spacing w:val="-7"/>
          <w:sz w:val="28"/>
          <w:szCs w:val="28"/>
        </w:rPr>
      </w:pPr>
      <w:r>
        <w:br w:type="page"/>
      </w:r>
    </w:p>
    <w:p w:rsidR="00200390" w:rsidRDefault="003D0E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Аналитический отчет</w:t>
      </w:r>
    </w:p>
    <w:p w:rsidR="00200390" w:rsidRDefault="003D0EEC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200390" w:rsidRDefault="003D0EEC">
      <w:pPr>
        <w:spacing w:line="276" w:lineRule="auto"/>
        <w:jc w:val="center"/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№ 40 ГОРОДА СТАВРОПОЛЯ</w:t>
      </w:r>
      <w:r>
        <w:rPr>
          <w:sz w:val="28"/>
          <w:szCs w:val="28"/>
        </w:rPr>
        <w:t xml:space="preserve"> в соответствии с показателями, характеризующими общие критерии оценки качест</w:t>
      </w:r>
      <w:r>
        <w:rPr>
          <w:sz w:val="28"/>
          <w:szCs w:val="28"/>
        </w:rPr>
        <w:t xml:space="preserve">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200390" w:rsidRDefault="00200390">
      <w:pPr>
        <w:spacing w:line="276" w:lineRule="auto"/>
        <w:jc w:val="center"/>
      </w:pPr>
    </w:p>
    <w:p w:rsidR="00200390" w:rsidRDefault="00200390">
      <w:pPr>
        <w:spacing w:line="276" w:lineRule="auto"/>
        <w:jc w:val="center"/>
        <w:rPr>
          <w:sz w:val="28"/>
          <w:szCs w:val="28"/>
        </w:rPr>
      </w:pPr>
    </w:p>
    <w:p w:rsidR="00200390" w:rsidRDefault="003D0EE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0390" w:rsidRDefault="003D0E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информации 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>
        <w:rPr>
          <w:bCs/>
          <w:color w:val="000000"/>
          <w:sz w:val="28"/>
          <w:szCs w:val="28"/>
        </w:rPr>
        <w:t>МУНИЦИПАЛЬНОЕ БЮДЖЕТНОЕ ДО</w:t>
      </w:r>
      <w:r>
        <w:rPr>
          <w:bCs/>
          <w:color w:val="000000"/>
          <w:sz w:val="28"/>
          <w:szCs w:val="28"/>
        </w:rPr>
        <w:t>ШКОЛЬНОЕ ОБРАЗОВАТЕЛЬНОЕ УЧРЕЖДЕНИЕ ДЕТСКИЙ САД № 40 ГОРОДА СТАВРОПОЛЯ</w:t>
      </w:r>
      <w:r>
        <w:rPr>
          <w:sz w:val="28"/>
          <w:szCs w:val="28"/>
        </w:rPr>
        <w:t xml:space="preserve"> осуществлено организацией-оператором – АНО «Северо-Кавказский центр профессионально-общественной аккредитации» </w:t>
      </w:r>
      <w:r>
        <w:rPr>
          <w:color w:val="000000"/>
          <w:sz w:val="28"/>
          <w:szCs w:val="28"/>
        </w:rPr>
        <w:t xml:space="preserve">во исполнение ч.2 ст.95 Федерального Закона от 29.12.2012г.               </w:t>
      </w:r>
      <w:r>
        <w:rPr>
          <w:color w:val="000000"/>
          <w:sz w:val="28"/>
          <w:szCs w:val="28"/>
        </w:rPr>
        <w:t xml:space="preserve">  № 273-ФЗ «Об образовании в Российской Федерации» </w:t>
      </w:r>
      <w:r>
        <w:rPr>
          <w:sz w:val="28"/>
          <w:szCs w:val="28"/>
        </w:rPr>
        <w:t>в соответствии со следующими нормативно-правовыми актами и методическими рекомендациями:</w:t>
      </w:r>
    </w:p>
    <w:p w:rsidR="00200390" w:rsidRDefault="003D0E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Правительства Российской Федерации от 31 мая 2018 г. № 638 «Об утверждении Правил сбора и обобщения</w:t>
      </w:r>
      <w:r>
        <w:rPr>
          <w:sz w:val="28"/>
          <w:szCs w:val="28"/>
        </w:rPr>
        <w:t xml:space="preserve">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200390" w:rsidRDefault="003D0E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Приказ Минтруда России от 31 мая 2018 г. № 344н «Об утвержден</w:t>
      </w:r>
      <w:r>
        <w:rPr>
          <w:sz w:val="28"/>
          <w:szCs w:val="28"/>
        </w:rPr>
        <w:t>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200390" w:rsidRDefault="003D0E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Приказ Министерства просвещения Российской Федерации от 13.03.2019 № 114 "Об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</w:t>
      </w:r>
      <w:r>
        <w:rPr>
          <w:sz w:val="28"/>
          <w:szCs w:val="28"/>
        </w:rPr>
        <w:t>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программам".</w:t>
      </w:r>
    </w:p>
    <w:p w:rsidR="00200390" w:rsidRDefault="003D0E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Методические рекомендации к Единому пор</w:t>
      </w:r>
      <w:r>
        <w:rPr>
          <w:sz w:val="28"/>
          <w:szCs w:val="28"/>
        </w:rPr>
        <w:t>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</w:t>
      </w:r>
      <w:r>
        <w:rPr>
          <w:sz w:val="28"/>
          <w:szCs w:val="28"/>
        </w:rPr>
        <w:t>ьного образования, основным программам профессионального обучения, дополнительным общеобразовательным программам (с учетом отраслевых особенностей).</w:t>
      </w:r>
      <w:r>
        <w:br w:type="page"/>
      </w:r>
    </w:p>
    <w:p w:rsidR="00200390" w:rsidRDefault="003D0E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Общие исходные сведения об организации:</w:t>
      </w:r>
    </w:p>
    <w:p w:rsidR="00200390" w:rsidRDefault="003D0EEC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spacing w:beforeAutospacing="1"/>
        <w:jc w:val="both"/>
        <w:textAlignment w:val="top"/>
      </w:pPr>
      <w:r>
        <w:rPr>
          <w:b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МУНИЦИПАЛЬНОЕ БЮДЖЕТНОЕ ДОШКОЛЬНОЕ </w:t>
      </w:r>
      <w:r>
        <w:rPr>
          <w:color w:val="000000"/>
          <w:sz w:val="28"/>
          <w:szCs w:val="28"/>
        </w:rPr>
        <w:t>ОБРАЗОВАТЕЛЬНОЕ УЧРЕЖДЕНИЕ ДЕТСКИЙ САД № 40 ГОРОДА СТАВРОПОЛЯ</w:t>
      </w:r>
      <w:r>
        <w:rPr>
          <w:sz w:val="28"/>
          <w:szCs w:val="28"/>
        </w:rPr>
        <w:t xml:space="preserve"> </w:t>
      </w:r>
    </w:p>
    <w:p w:rsidR="00200390" w:rsidRDefault="003D0EEC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contextualSpacing w:val="0"/>
        <w:jc w:val="both"/>
        <w:textAlignment w:val="top"/>
      </w:pPr>
      <w:r>
        <w:rPr>
          <w:b/>
          <w:sz w:val="28"/>
          <w:szCs w:val="28"/>
        </w:rPr>
        <w:t>Юридический адрес организации: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355035, Ставропольский край, г Ставрополь, ул Комсомольская, д 99.</w:t>
      </w:r>
    </w:p>
    <w:p w:rsidR="00200390" w:rsidRDefault="003D0EEC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contextualSpacing w:val="0"/>
        <w:jc w:val="both"/>
        <w:textAlignment w:val="top"/>
      </w:pPr>
      <w:r>
        <w:rPr>
          <w:b/>
          <w:sz w:val="28"/>
          <w:szCs w:val="28"/>
        </w:rPr>
        <w:t>Период проведения дистанционного этапа сбора информации</w:t>
      </w:r>
      <w:r>
        <w:rPr>
          <w:sz w:val="28"/>
          <w:szCs w:val="28"/>
        </w:rPr>
        <w:t xml:space="preserve">: с 25.06.2023 по 30.08.2023 гг. </w:t>
      </w:r>
    </w:p>
    <w:p w:rsidR="00200390" w:rsidRDefault="003D0EEC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 xml:space="preserve">Дата </w:t>
      </w:r>
      <w:r>
        <w:rPr>
          <w:b/>
          <w:sz w:val="28"/>
          <w:szCs w:val="28"/>
        </w:rPr>
        <w:t>визита представителей организации-оператора в организацию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12.09.2023 г.</w:t>
      </w:r>
    </w:p>
    <w:p w:rsidR="00200390" w:rsidRDefault="003D0EEC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 xml:space="preserve">Численность респондентов в образовательной организации 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55 </w:t>
      </w:r>
      <w:r>
        <w:rPr>
          <w:sz w:val="28"/>
          <w:szCs w:val="28"/>
        </w:rPr>
        <w:t>чел.</w:t>
      </w:r>
    </w:p>
    <w:p w:rsidR="00200390" w:rsidRDefault="00200390">
      <w:pPr>
        <w:pStyle w:val="af1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:rsidR="00200390" w:rsidRDefault="003D0EE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Рекомендации членов внешних экспертных комиссий</w:t>
      </w:r>
      <w:r>
        <w:rPr>
          <w:sz w:val="28"/>
          <w:szCs w:val="28"/>
        </w:rPr>
        <w:t xml:space="preserve"> и респондентов по улучшению качества условий осуществления образовате</w:t>
      </w:r>
      <w:r>
        <w:rPr>
          <w:sz w:val="28"/>
          <w:szCs w:val="28"/>
        </w:rPr>
        <w:t xml:space="preserve">льной деятельности </w:t>
      </w:r>
      <w:r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№ 40 ГОРОДА СТАВРОПОЛЯ</w:t>
      </w:r>
    </w:p>
    <w:p w:rsidR="00200390" w:rsidRDefault="00200390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f4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75"/>
        <w:gridCol w:w="7101"/>
      </w:tblGrid>
      <w:tr w:rsidR="00200390">
        <w:tc>
          <w:tcPr>
            <w:tcW w:w="2675" w:type="dxa"/>
            <w:shd w:val="clear" w:color="auto" w:fill="DEEAF6" w:themeFill="accent1" w:themeFillTint="33"/>
          </w:tcPr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>Критерий 1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200390" w:rsidRDefault="003D0EEC">
            <w:pPr>
              <w:widowControl w:val="0"/>
              <w:jc w:val="center"/>
            </w:pPr>
            <w:r>
              <w:rPr>
                <w:sz w:val="22"/>
              </w:rPr>
              <w:t>Открытость и доступность информации об организации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Пок. 1.1.</w:t>
            </w: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Соответствие информации о деятельности организации, размещенной на</w:t>
            </w:r>
            <w:r>
              <w:rPr>
                <w:i/>
                <w:iCs/>
                <w:sz w:val="22"/>
              </w:rPr>
              <w:t xml:space="preserve">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 xml:space="preserve">на </w:t>
            </w:r>
            <w:r>
              <w:rPr>
                <w:sz w:val="22"/>
                <w:u w:val="single"/>
              </w:rPr>
              <w:t>официальном сайте</w:t>
            </w:r>
            <w:r>
              <w:rPr>
                <w:sz w:val="22"/>
              </w:rPr>
              <w:t xml:space="preserve"> организации в информационно-телекоммуникационной сети "Интернет"</w:t>
            </w: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pStyle w:val="af1"/>
              <w:widowControl w:val="0"/>
              <w:numPr>
                <w:ilvl w:val="0"/>
                <w:numId w:val="4"/>
              </w:numPr>
              <w:ind w:left="335"/>
              <w:jc w:val="both"/>
            </w:pPr>
            <w:r>
              <w:t xml:space="preserve">Обеспечить наличие на сайте </w:t>
            </w:r>
            <w:r>
              <w:t>образовательной организации недостающей информации согласно отрицательным значениям в приложении к настоящему отчету.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Пок. 1.3.</w:t>
            </w: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Удовлетворенность получателей услуг открытостью и доступностью информации об образовательной организации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200390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>екомендации респонде</w:t>
            </w:r>
            <w:r>
              <w:rPr>
                <w:sz w:val="22"/>
                <w:u w:val="single"/>
              </w:rPr>
              <w:t>нтов:</w:t>
            </w:r>
          </w:p>
          <w:p w:rsidR="00200390" w:rsidRDefault="003D0EEC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</w:rPr>
              <w:t>Рекомендации отсутствуют</w:t>
            </w:r>
          </w:p>
        </w:tc>
      </w:tr>
      <w:tr w:rsidR="00200390">
        <w:tc>
          <w:tcPr>
            <w:tcW w:w="2675" w:type="dxa"/>
            <w:shd w:val="clear" w:color="auto" w:fill="DEEAF6" w:themeFill="accent1" w:themeFillTint="33"/>
          </w:tcPr>
          <w:p w:rsidR="00200390" w:rsidRDefault="003D0EEC">
            <w:pPr>
              <w:widowControl w:val="0"/>
              <w:jc w:val="center"/>
            </w:pPr>
            <w:r>
              <w:rPr>
                <w:sz w:val="22"/>
              </w:rPr>
              <w:t>Критерий 2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200390" w:rsidRDefault="003D0EEC">
            <w:pPr>
              <w:widowControl w:val="0"/>
              <w:jc w:val="center"/>
            </w:pPr>
            <w:r>
              <w:rPr>
                <w:sz w:val="22"/>
              </w:rPr>
              <w:t>Комфортность условий предоставления услуг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Пок. 2.3.</w:t>
            </w: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Удовлетворенность комфортностью условий предоставления услуг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200390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>Рекомендации респондентов:</w:t>
            </w:r>
          </w:p>
          <w:p w:rsidR="00200390" w:rsidRDefault="003D0EEC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</w:rPr>
              <w:t>Рекомендации отсутствуют</w:t>
            </w:r>
          </w:p>
        </w:tc>
      </w:tr>
      <w:tr w:rsidR="00200390">
        <w:tc>
          <w:tcPr>
            <w:tcW w:w="2675" w:type="dxa"/>
            <w:shd w:val="clear" w:color="auto" w:fill="DEEAF6" w:themeFill="accent1" w:themeFillTint="33"/>
          </w:tcPr>
          <w:p w:rsidR="00200390" w:rsidRDefault="003D0EEC">
            <w:pPr>
              <w:widowControl w:val="0"/>
              <w:jc w:val="center"/>
            </w:pPr>
            <w:r>
              <w:rPr>
                <w:sz w:val="22"/>
              </w:rPr>
              <w:t>Критерий 3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200390" w:rsidRDefault="003D0EEC">
            <w:pPr>
              <w:widowControl w:val="0"/>
              <w:jc w:val="center"/>
            </w:pPr>
            <w:r>
              <w:rPr>
                <w:sz w:val="22"/>
              </w:rPr>
              <w:t>Доступность услуг для инвалидов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Пок. 3.1.</w:t>
            </w: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200390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pStyle w:val="af1"/>
              <w:widowControl w:val="0"/>
              <w:numPr>
                <w:ilvl w:val="0"/>
                <w:numId w:val="5"/>
              </w:numPr>
              <w:ind w:left="335"/>
              <w:jc w:val="both"/>
            </w:pPr>
            <w:r>
              <w:t>Обеспечить оборудование входных групп пандусами/мобильными пандусами, противоскользящим покрытием.</w:t>
            </w:r>
          </w:p>
          <w:p w:rsidR="00200390" w:rsidRDefault="003D0EEC">
            <w:pPr>
              <w:pStyle w:val="af1"/>
              <w:widowControl w:val="0"/>
              <w:numPr>
                <w:ilvl w:val="0"/>
                <w:numId w:val="5"/>
              </w:numPr>
              <w:ind w:left="335"/>
              <w:jc w:val="both"/>
            </w:pPr>
            <w:r>
              <w:t xml:space="preserve">Обеспечить наличие и функционирование </w:t>
            </w:r>
            <w:r>
              <w:t>специализированных кнопок вызова персонала образовательной организации.</w:t>
            </w:r>
          </w:p>
          <w:p w:rsidR="00200390" w:rsidRDefault="003D0EEC">
            <w:pPr>
              <w:pStyle w:val="af1"/>
              <w:widowControl w:val="0"/>
              <w:numPr>
                <w:ilvl w:val="0"/>
                <w:numId w:val="5"/>
              </w:numPr>
              <w:ind w:left="335"/>
              <w:jc w:val="both"/>
            </w:pPr>
            <w:r>
              <w:t>Обеспечить наличие выделенных стоянок для автотранспортных средств инвалидов:</w:t>
            </w:r>
          </w:p>
          <w:p w:rsidR="00200390" w:rsidRDefault="003D0EEC">
            <w:pPr>
              <w:pStyle w:val="af1"/>
              <w:widowControl w:val="0"/>
              <w:ind w:left="335"/>
              <w:jc w:val="both"/>
            </w:pPr>
            <w:r>
              <w:t>- нанести соответствующую разметку на дорожное покрытие стоянки</w:t>
            </w:r>
          </w:p>
          <w:p w:rsidR="00200390" w:rsidRDefault="003D0EEC">
            <w:pPr>
              <w:pStyle w:val="af1"/>
              <w:widowControl w:val="0"/>
              <w:ind w:left="335"/>
              <w:jc w:val="both"/>
            </w:pPr>
            <w:r>
              <w:t xml:space="preserve">- разместить соответствующий знак стоянки </w:t>
            </w:r>
            <w:r>
              <w:t>для инвалидов</w:t>
            </w:r>
          </w:p>
          <w:p w:rsidR="00200390" w:rsidRDefault="003D0EEC">
            <w:pPr>
              <w:pStyle w:val="af1"/>
              <w:widowControl w:val="0"/>
              <w:ind w:left="335"/>
              <w:jc w:val="both"/>
            </w:pPr>
            <w:r>
              <w:t>- обеспечить свободное место стоянки для автотранспортных средств инвалидов на постоянной основе</w:t>
            </w:r>
          </w:p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 xml:space="preserve">4. Обеспечить наличие специализированных поручней на входной </w:t>
            </w:r>
            <w:r>
              <w:rPr>
                <w:sz w:val="22"/>
              </w:rPr>
              <w:lastRenderedPageBreak/>
              <w:t>группе, в фойе и коридорах образовательной организации.</w:t>
            </w:r>
          </w:p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>5. Обеспечить наличие и дост</w:t>
            </w:r>
            <w:r>
              <w:rPr>
                <w:sz w:val="22"/>
              </w:rPr>
              <w:t>упность сменных кресел-колясок.</w:t>
            </w:r>
          </w:p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>6. Обеспечить наличие с доступность специально оборудованных санитарно-гигиенических помещений:</w:t>
            </w:r>
          </w:p>
          <w:p w:rsidR="00200390" w:rsidRDefault="003D0EEC">
            <w:pPr>
              <w:pStyle w:val="af1"/>
              <w:widowControl w:val="0"/>
              <w:ind w:left="335"/>
              <w:jc w:val="both"/>
            </w:pPr>
            <w:r>
              <w:t>- оснастить санузлы и уборные специализированными опорными поручнями, кнопками вызова персонала образовательной организации, спе</w:t>
            </w:r>
            <w:r>
              <w:t>циализированными крючками для размещения опорных приспособлений  (тростей, костылей)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lastRenderedPageBreak/>
              <w:t>Пок. 3.2.</w:t>
            </w: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Обеспечение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200390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pStyle w:val="af1"/>
              <w:widowControl w:val="0"/>
              <w:numPr>
                <w:ilvl w:val="0"/>
                <w:numId w:val="6"/>
              </w:numPr>
              <w:ind w:left="335"/>
              <w:jc w:val="both"/>
            </w:pPr>
            <w:r>
              <w:t xml:space="preserve">Обеспечить аппаратное </w:t>
            </w:r>
            <w:r>
              <w:t>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:rsidR="00200390" w:rsidRDefault="003D0EEC">
            <w:pPr>
              <w:pStyle w:val="af1"/>
              <w:widowControl w:val="0"/>
              <w:numPr>
                <w:ilvl w:val="0"/>
                <w:numId w:val="6"/>
              </w:numPr>
              <w:ind w:left="335"/>
              <w:jc w:val="both"/>
            </w:pPr>
            <w:r>
              <w:t>Обеспечить возможность предоставления инвал</w:t>
            </w:r>
            <w:r>
              <w:t>идам по слуху и зрению услуг сурдопереводчиков (тифлосурдопереводчиков), в том числе посредством межведомственного взаимодействия и социального партнерства.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>Пок. 3.3.</w:t>
            </w: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>Удовлетворенность качеством условий предоставления услуг для инвалидов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200390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>Рекомендации ре</w:t>
            </w:r>
            <w:r>
              <w:rPr>
                <w:sz w:val="22"/>
                <w:u w:val="single"/>
              </w:rPr>
              <w:t>спондентов :</w:t>
            </w:r>
          </w:p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>Рекомендации отсутствуют</w:t>
            </w:r>
          </w:p>
        </w:tc>
      </w:tr>
      <w:tr w:rsidR="00200390">
        <w:tc>
          <w:tcPr>
            <w:tcW w:w="2675" w:type="dxa"/>
            <w:shd w:val="clear" w:color="auto" w:fill="DEEAF6" w:themeFill="accent1" w:themeFillTint="33"/>
          </w:tcPr>
          <w:p w:rsidR="00200390" w:rsidRDefault="003D0EEC">
            <w:pPr>
              <w:widowControl w:val="0"/>
              <w:jc w:val="center"/>
            </w:pPr>
            <w:r>
              <w:rPr>
                <w:sz w:val="22"/>
              </w:rPr>
              <w:t>Критерий 4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200390" w:rsidRDefault="003D0EEC">
            <w:pPr>
              <w:widowControl w:val="0"/>
              <w:jc w:val="center"/>
            </w:pPr>
            <w:r>
              <w:rPr>
                <w:sz w:val="22"/>
              </w:rPr>
              <w:t>Доброжелательность, вежливость работников организации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200390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>Рекомендации респондентов :</w:t>
            </w:r>
          </w:p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>Рекомендации отсутствуют</w:t>
            </w:r>
          </w:p>
        </w:tc>
      </w:tr>
      <w:tr w:rsidR="00200390">
        <w:tc>
          <w:tcPr>
            <w:tcW w:w="2675" w:type="dxa"/>
            <w:shd w:val="clear" w:color="auto" w:fill="DEEAF6" w:themeFill="accent1" w:themeFillTint="33"/>
          </w:tcPr>
          <w:p w:rsidR="00200390" w:rsidRDefault="003D0EEC">
            <w:pPr>
              <w:widowControl w:val="0"/>
              <w:jc w:val="center"/>
            </w:pPr>
            <w:r>
              <w:rPr>
                <w:sz w:val="22"/>
              </w:rPr>
              <w:t>Критерий 5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:rsidR="00200390" w:rsidRDefault="003D0EEC">
            <w:pPr>
              <w:widowControl w:val="0"/>
              <w:jc w:val="center"/>
            </w:pPr>
            <w:r>
              <w:rPr>
                <w:sz w:val="22"/>
              </w:rPr>
              <w:t>Удовлетворенность условиями оказания услуг</w:t>
            </w:r>
          </w:p>
        </w:tc>
      </w:tr>
      <w:tr w:rsidR="00200390">
        <w:tc>
          <w:tcPr>
            <w:tcW w:w="2675" w:type="dxa"/>
            <w:shd w:val="clear" w:color="auto" w:fill="auto"/>
          </w:tcPr>
          <w:p w:rsidR="00200390" w:rsidRDefault="00200390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:rsidR="00200390" w:rsidRDefault="003D0EEC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>Рекомендации респондентов :</w:t>
            </w:r>
          </w:p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 xml:space="preserve">1. </w:t>
            </w:r>
            <w:r>
              <w:rPr>
                <w:sz w:val="22"/>
              </w:rPr>
              <w:t>Организовывать больше утренников и спортивных мероприятий</w:t>
            </w:r>
          </w:p>
          <w:p w:rsidR="00200390" w:rsidRDefault="003D0EEC">
            <w:pPr>
              <w:widowControl w:val="0"/>
              <w:jc w:val="both"/>
            </w:pPr>
            <w:r>
              <w:rPr>
                <w:sz w:val="22"/>
              </w:rPr>
              <w:t>2. Проводить больше развивающих занятий</w:t>
            </w:r>
          </w:p>
        </w:tc>
      </w:tr>
    </w:tbl>
    <w:p w:rsidR="00200390" w:rsidRDefault="00200390">
      <w:pPr>
        <w:pStyle w:val="af1"/>
        <w:ind w:left="709"/>
        <w:jc w:val="both"/>
        <w:rPr>
          <w:sz w:val="28"/>
          <w:szCs w:val="28"/>
        </w:rPr>
      </w:pPr>
    </w:p>
    <w:p w:rsidR="00200390" w:rsidRDefault="003D0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Интегральное значение по 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color w:val="000000"/>
          <w:sz w:val="28"/>
          <w:szCs w:val="28"/>
        </w:rPr>
        <w:t>МУНИЦИПАЛЬНОЕ БЮДЖЕТНОЕ ДОШКОЛЬНОЕ ОБРАЗОВАТЕЛЬНОЕ УЧРЕЖДЕНИЕ ДЕТСКИЙ</w:t>
      </w:r>
      <w:r>
        <w:rPr>
          <w:color w:val="000000"/>
          <w:sz w:val="28"/>
          <w:szCs w:val="28"/>
        </w:rPr>
        <w:t xml:space="preserve"> САД № 40 ГОРОДА СТАВРОПОЛЯ,</w:t>
      </w:r>
      <w:r>
        <w:rPr>
          <w:sz w:val="28"/>
          <w:szCs w:val="28"/>
        </w:rPr>
        <w:t xml:space="preserve"> составило </w:t>
      </w:r>
      <w:r>
        <w:rPr>
          <w:b/>
          <w:bCs/>
          <w:sz w:val="28"/>
          <w:szCs w:val="28"/>
        </w:rPr>
        <w:t>90,58</w:t>
      </w:r>
      <w:r>
        <w:rPr>
          <w:b/>
          <w:color w:val="000000" w:themeColor="text1"/>
          <w:sz w:val="28"/>
          <w:szCs w:val="28"/>
        </w:rPr>
        <w:t xml:space="preserve"> балла</w:t>
      </w:r>
      <w:r>
        <w:rPr>
          <w:sz w:val="28"/>
          <w:szCs w:val="28"/>
        </w:rPr>
        <w:t>. Детализация показателей общих критериев, участвующих в формировании интегрального значения приведена в Приложении №1.</w:t>
      </w:r>
    </w:p>
    <w:p w:rsidR="00200390" w:rsidRDefault="00200390">
      <w:pPr>
        <w:rPr>
          <w:sz w:val="28"/>
          <w:szCs w:val="28"/>
        </w:rPr>
      </w:pPr>
    </w:p>
    <w:p w:rsidR="00200390" w:rsidRDefault="003D0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полученные по итогам реализации дистанционного и очного этапов сбора и обоб</w:t>
      </w:r>
      <w:r>
        <w:rPr>
          <w:sz w:val="28"/>
          <w:szCs w:val="28"/>
        </w:rPr>
        <w:t>щения информации о качестве условий осуществления образовательной деятельности в соответствии с показателями, характеризующими общие критерии оценки качества условий осуществления образовательной деятельности образовательными организациями, в отношении кот</w:t>
      </w:r>
      <w:r>
        <w:rPr>
          <w:sz w:val="28"/>
          <w:szCs w:val="28"/>
        </w:rPr>
        <w:t xml:space="preserve">орых проводится независимая оценка, подлежат передаче в Общественный совет при администрации города Ставрополя </w:t>
      </w:r>
      <w:r>
        <w:rPr>
          <w:sz w:val="28"/>
          <w:szCs w:val="28"/>
        </w:rPr>
        <w:br/>
        <w:t>по проведению независимой оценки качества условий осуществления образовательной деятельности муниципальными образовательными учреждениями города</w:t>
      </w:r>
      <w:r>
        <w:rPr>
          <w:sz w:val="28"/>
          <w:szCs w:val="28"/>
        </w:rPr>
        <w:t xml:space="preserve"> Ставрополя, а также иными учреждениями, </w:t>
      </w:r>
      <w:r>
        <w:rPr>
          <w:sz w:val="28"/>
          <w:szCs w:val="28"/>
        </w:rPr>
        <w:lastRenderedPageBreak/>
        <w:t>осуществляющими образовательную деятельность за счет бюджетных ассигнований бюджета города Ставрополя, для принятия решения о присвоении рейтинга организации и формирования плана мероприятий по улучшению качества ус</w:t>
      </w:r>
      <w:r>
        <w:rPr>
          <w:sz w:val="28"/>
          <w:szCs w:val="28"/>
        </w:rPr>
        <w:t>ловий осуществления образовательной деятельности образовательной организацией.</w:t>
      </w:r>
    </w:p>
    <w:p w:rsidR="00200390" w:rsidRDefault="00200390">
      <w:pPr>
        <w:ind w:firstLine="709"/>
        <w:jc w:val="both"/>
        <w:rPr>
          <w:b/>
          <w:sz w:val="28"/>
          <w:szCs w:val="28"/>
        </w:rPr>
      </w:pPr>
    </w:p>
    <w:p w:rsidR="00200390" w:rsidRDefault="00200390">
      <w:pPr>
        <w:ind w:firstLine="709"/>
        <w:jc w:val="both"/>
        <w:rPr>
          <w:b/>
          <w:sz w:val="28"/>
          <w:szCs w:val="28"/>
        </w:rPr>
      </w:pPr>
    </w:p>
    <w:p w:rsidR="00200390" w:rsidRDefault="003D0E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00390" w:rsidRDefault="003D0E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  <w:t>Е.С. Квасова</w:t>
      </w:r>
    </w:p>
    <w:p w:rsidR="00200390" w:rsidRDefault="00200390">
      <w:pPr>
        <w:rPr>
          <w:b/>
          <w:sz w:val="28"/>
          <w:szCs w:val="28"/>
        </w:rPr>
      </w:pPr>
    </w:p>
    <w:p w:rsidR="00200390" w:rsidRDefault="00200390">
      <w:pPr>
        <w:rPr>
          <w:sz w:val="28"/>
          <w:szCs w:val="28"/>
        </w:rPr>
      </w:pPr>
    </w:p>
    <w:sectPr w:rsidR="00200390">
      <w:headerReference w:type="default" r:id="rId9"/>
      <w:pgSz w:w="11906" w:h="16838"/>
      <w:pgMar w:top="1135" w:right="566" w:bottom="993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EC" w:rsidRDefault="003D0EEC">
      <w:r>
        <w:separator/>
      </w:r>
    </w:p>
  </w:endnote>
  <w:endnote w:type="continuationSeparator" w:id="0">
    <w:p w:rsidR="003D0EEC" w:rsidRDefault="003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EC" w:rsidRDefault="003D0EEC">
      <w:r>
        <w:separator/>
      </w:r>
    </w:p>
  </w:footnote>
  <w:footnote w:type="continuationSeparator" w:id="0">
    <w:p w:rsidR="003D0EEC" w:rsidRDefault="003D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974590"/>
      <w:docPartObj>
        <w:docPartGallery w:val="Page Numbers (Top of Page)"/>
        <w:docPartUnique/>
      </w:docPartObj>
    </w:sdtPr>
    <w:sdtEndPr/>
    <w:sdtContent>
      <w:p w:rsidR="00200390" w:rsidRDefault="003D0EEC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D1C9D">
          <w:rPr>
            <w:noProof/>
          </w:rPr>
          <w:t>4</w:t>
        </w:r>
        <w:r>
          <w:fldChar w:fldCharType="end"/>
        </w:r>
      </w:p>
    </w:sdtContent>
  </w:sdt>
  <w:p w:rsidR="00200390" w:rsidRDefault="003D0EEC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6B7"/>
    <w:multiLevelType w:val="multilevel"/>
    <w:tmpl w:val="8E5AB8F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F32801"/>
    <w:multiLevelType w:val="multilevel"/>
    <w:tmpl w:val="0419001F"/>
    <w:lvl w:ilvl="0">
      <w:start w:val="1"/>
      <w:numFmt w:val="decimal"/>
      <w:pStyle w:val="-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C1427DF"/>
    <w:multiLevelType w:val="multilevel"/>
    <w:tmpl w:val="7AEC5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00" w:hanging="1584"/>
      </w:pPr>
    </w:lvl>
  </w:abstractNum>
  <w:abstractNum w:abstractNumId="3" w15:restartNumberingAfterBreak="0">
    <w:nsid w:val="2F114BD8"/>
    <w:multiLevelType w:val="multilevel"/>
    <w:tmpl w:val="A1967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EF5AEE"/>
    <w:multiLevelType w:val="multilevel"/>
    <w:tmpl w:val="59D0F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1C5A62"/>
    <w:multiLevelType w:val="multilevel"/>
    <w:tmpl w:val="33E08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50338D5"/>
    <w:multiLevelType w:val="multilevel"/>
    <w:tmpl w:val="E564A8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90"/>
    <w:rsid w:val="000D1C9D"/>
    <w:rsid w:val="00200390"/>
    <w:rsid w:val="003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78A44-ADCB-4610-8A2A-F0C13BF9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B31BA"/>
  </w:style>
  <w:style w:type="character" w:customStyle="1" w:styleId="a5">
    <w:name w:val="Нижний колонтитул Знак"/>
    <w:basedOn w:val="a0"/>
    <w:link w:val="a6"/>
    <w:uiPriority w:val="99"/>
    <w:qFormat/>
    <w:rsid w:val="008B31BA"/>
  </w:style>
  <w:style w:type="character" w:customStyle="1" w:styleId="-">
    <w:name w:val="Интернет-ссылка"/>
    <w:basedOn w:val="a0"/>
    <w:uiPriority w:val="99"/>
    <w:unhideWhenUsed/>
    <w:rsid w:val="00EB4910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qFormat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6DDE"/>
    <w:rPr>
      <w:b/>
      <w:bCs/>
    </w:rPr>
  </w:style>
  <w:style w:type="character" w:styleId="aa">
    <w:name w:val="Emphasis"/>
    <w:basedOn w:val="a0"/>
    <w:uiPriority w:val="20"/>
    <w:qFormat/>
    <w:rsid w:val="00525EF1"/>
    <w:rPr>
      <w:i/>
      <w:iCs/>
    </w:rPr>
  </w:style>
  <w:style w:type="character" w:customStyle="1" w:styleId="val">
    <w:name w:val="val"/>
    <w:basedOn w:val="a0"/>
    <w:qFormat/>
    <w:rsid w:val="004D5F54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ConsPlusNormal">
    <w:name w:val="ConsPlusNormal"/>
    <w:qFormat/>
    <w:rsid w:val="001045A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1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paragraph" w:styleId="a8">
    <w:name w:val="Balloon Text"/>
    <w:basedOn w:val="a"/>
    <w:link w:val="a7"/>
    <w:uiPriority w:val="99"/>
    <w:semiHidden/>
    <w:unhideWhenUsed/>
    <w:qFormat/>
    <w:rsid w:val="00F97998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qFormat/>
    <w:rsid w:val="00525EF1"/>
    <w:pPr>
      <w:spacing w:beforeAutospacing="1" w:afterAutospacing="1"/>
    </w:pPr>
  </w:style>
  <w:style w:type="paragraph" w:customStyle="1" w:styleId="-11">
    <w:name w:val="Цветной список - Акцент 11"/>
    <w:basedOn w:val="a"/>
    <w:qFormat/>
    <w:rsid w:val="00782F1A"/>
    <w:pPr>
      <w:widowControl w:val="0"/>
      <w:numPr>
        <w:numId w:val="3"/>
      </w:numPr>
      <w:tabs>
        <w:tab w:val="left" w:pos="993"/>
      </w:tabs>
      <w:spacing w:before="120" w:after="60"/>
      <w:jc w:val="both"/>
    </w:pPr>
    <w:rPr>
      <w:rFonts w:ascii="Times New Roman CYR" w:hAnsi="Times New Roman CYR"/>
    </w:rPr>
  </w:style>
  <w:style w:type="paragraph" w:customStyle="1" w:styleId="af3">
    <w:name w:val="Содержимое врезки"/>
    <w:basedOn w:val="a"/>
    <w:qFormat/>
  </w:style>
  <w:style w:type="numbering" w:customStyle="1" w:styleId="61">
    <w:name w:val="Стиль61"/>
    <w:uiPriority w:val="99"/>
    <w:qFormat/>
    <w:rsid w:val="00F06582"/>
  </w:style>
  <w:style w:type="table" w:styleId="af4">
    <w:name w:val="Table Grid"/>
    <w:basedOn w:val="a1"/>
    <w:uiPriority w:val="39"/>
    <w:rsid w:val="00D4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1AE4-BF88-4944-A6F6-A16D340F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</cp:revision>
  <cp:lastPrinted>2019-07-24T18:58:00Z</cp:lastPrinted>
  <dcterms:created xsi:type="dcterms:W3CDTF">2024-01-15T12:56:00Z</dcterms:created>
  <dcterms:modified xsi:type="dcterms:W3CDTF">2024-01-15T12:56:00Z</dcterms:modified>
  <dc:language>ru-RU</dc:language>
</cp:coreProperties>
</file>